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930758253" w:edGrp="everyone"/>
      <w:r w:rsidRPr="002D0B36">
        <w:rPr>
          <w:rFonts w:ascii="Times New Roman" w:hAnsi="Times New Roman" w:cs="Times New Roman"/>
          <w:lang w:eastAsia="en-US"/>
        </w:rPr>
        <w:t>пяти процентов</w:t>
      </w:r>
      <w:permEnd w:id="193075825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9354557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93545579"/>
      <w:r w:rsidRPr="002D0B36">
        <w:rPr>
          <w:rFonts w:ascii="Times New Roman" w:hAnsi="Times New Roman" w:cs="Times New Roman"/>
          <w:lang w:eastAsia="en-US"/>
        </w:rPr>
        <w:t xml:space="preserve"> (</w:t>
      </w:r>
      <w:permStart w:id="24314687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4314687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540957712" w:edGrp="everyone"/>
      <w:r w:rsidRPr="002D0B36">
        <w:rPr>
          <w:rFonts w:ascii="Times New Roman" w:hAnsi="Times New Roman" w:cs="Times New Roman"/>
        </w:rPr>
        <w:t>20</w:t>
      </w:r>
      <w:proofErr w:type="gramStart"/>
      <w:r w:rsidRPr="002D0B36">
        <w:rPr>
          <w:rFonts w:ascii="Times New Roman" w:hAnsi="Times New Roman" w:cs="Times New Roman"/>
        </w:rPr>
        <w:t>%</w:t>
      </w:r>
      <w:permEnd w:id="154095771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2271A6">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bookmarkStart w:id="7" w:name="_GoBack"/>
      <w:bookmarkEnd w:id="7"/>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9E7B5E">
        <w:rPr>
          <w:rFonts w:eastAsia="MS Mincho"/>
          <w:lang w:eastAsia="ja-JP"/>
        </w:rPr>
        <w:t>____________________</w:t>
      </w:r>
      <w:r w:rsidR="002271A6">
        <w:rPr>
          <w:rFonts w:eastAsia="MS Mincho"/>
          <w:lang w:eastAsia="ja-JP"/>
        </w:rPr>
        <w:t>.</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r w:rsidR="002271A6" w:rsidRPr="00635E56">
        <w:rPr>
          <w:rFonts w:eastAsia="MS Mincho"/>
          <w:lang w:eastAsia="ja-JP"/>
        </w:rPr>
        <w:t xml:space="preserve">дней </w:t>
      </w:r>
      <w:r w:rsidR="002271A6">
        <w:rPr>
          <w:rFonts w:eastAsia="MS Mincho"/>
          <w:lang w:eastAsia="ja-JP"/>
        </w:rPr>
        <w:t>с</w:t>
      </w:r>
      <w:r w:rsidR="004878E5">
        <w:rPr>
          <w:rFonts w:eastAsia="MS Mincho"/>
          <w:lang w:eastAsia="ja-JP"/>
        </w:rPr>
        <w:t xml:space="preserve"> </w:t>
      </w:r>
      <w:r w:rsidR="002271A6">
        <w:rPr>
          <w:rFonts w:eastAsia="MS Mincho"/>
          <w:lang w:eastAsia="ja-JP"/>
        </w:rPr>
        <w:t xml:space="preserve">момента </w:t>
      </w:r>
      <w:r w:rsidR="002271A6"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237" w:rsidRDefault="00FE3237">
      <w:r>
        <w:separator/>
      </w:r>
    </w:p>
  </w:endnote>
  <w:endnote w:type="continuationSeparator" w:id="0">
    <w:p w:rsidR="00FE3237" w:rsidRDefault="00FE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266F6F">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266F6F">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237" w:rsidRDefault="00FE3237">
      <w:r>
        <w:separator/>
      </w:r>
    </w:p>
  </w:footnote>
  <w:footnote w:type="continuationSeparator" w:id="0">
    <w:p w:rsidR="00FE3237" w:rsidRDefault="00FE3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266F6F">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271A6"/>
    <w:rsid w:val="0023405A"/>
    <w:rsid w:val="00240A44"/>
    <w:rsid w:val="002432B5"/>
    <w:rsid w:val="0024574C"/>
    <w:rsid w:val="00250051"/>
    <w:rsid w:val="00250658"/>
    <w:rsid w:val="00252079"/>
    <w:rsid w:val="0025223A"/>
    <w:rsid w:val="00257A8C"/>
    <w:rsid w:val="002631B5"/>
    <w:rsid w:val="00266724"/>
    <w:rsid w:val="00266F6F"/>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0720"/>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E7B5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62DEF8"/>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B1064-D3C4-4743-BC42-0EA7BDF7B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4976</Words>
  <Characters>35043</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2018-09-14T05:43:00Z</cp:lastPrinted>
  <dcterms:created xsi:type="dcterms:W3CDTF">2020-03-25T09:32:00Z</dcterms:created>
  <dcterms:modified xsi:type="dcterms:W3CDTF">2020-04-14T11:48:00Z</dcterms:modified>
</cp:coreProperties>
</file>